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b w:val="1"/>
          <w:bCs w:val="1"/>
          <w:smallCaps w:val="1"/>
          <w:color w:val="fcb61a"/>
          <w:sz w:val="64"/>
          <w:szCs w:val="6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b365d"/>
          <w:sz w:val="64"/>
          <w:szCs w:val="64"/>
          <w:vertAlign w:val="superscript"/>
          <w:rtl w:val="0"/>
        </w:rPr>
        <w:t xml:space="preserve">$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b365d"/>
          <w:sz w:val="64"/>
          <w:szCs w:val="64"/>
          <w:rtl w:val="0"/>
        </w:rPr>
        <w:t xml:space="preserve">80 NLH Midnight Madness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Verdana" w:cs="Verdana" w:eastAsia="Verdana" w:hAnsi="Verdana"/>
          <w:color w:val="1b365d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color w:val="1b365d"/>
          <w:sz w:val="32"/>
          <w:szCs w:val="32"/>
          <w:rtl w:val="0"/>
        </w:rPr>
        <w:t xml:space="preserve">Fridays, July 3, 17, 24, &amp; 31, 2026 | 11:59PM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Verdana" w:cs="Verdana" w:eastAsia="Verdana" w:hAnsi="Verdana"/>
          <w:b w:val="1"/>
          <w:bCs w:val="1"/>
          <w:color w:val="1b365d"/>
          <w:sz w:val="32"/>
          <w:szCs w:val="32"/>
        </w:rPr>
      </w:pPr>
      <w:bookmarkStart w:colFirst="0" w:colLast="0" w:name="_heading=h.gc44tf7wcpoe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1b365d"/>
          <w:sz w:val="32"/>
          <w:szCs w:val="32"/>
          <w:rtl w:val="0"/>
        </w:rPr>
        <w:t xml:space="preserve">12,000 Starting Stack | 12 Minute Levels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64.0" w:type="dxa"/>
        <w:jc w:val="left"/>
        <w:tblInd w:w="27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6"/>
        <w:gridCol w:w="2016"/>
        <w:gridCol w:w="2016"/>
        <w:gridCol w:w="2016"/>
        <w:tblGridChange w:id="0">
          <w:tblGrid>
            <w:gridCol w:w="2016"/>
            <w:gridCol w:w="2016"/>
            <w:gridCol w:w="2016"/>
            <w:gridCol w:w="201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shd w:fill="fff0c0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0c0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Big Blind 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0c0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Small Blind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0c0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Big Blind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1E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End Of Registration | 10 Minute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2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6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1,000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A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1,200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1,200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E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1,500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1,000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1,500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2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1,000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2,000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10 Minute Break | Color Up 100 Chips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A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1,500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88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3,000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4,000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2,000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4,000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6,000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3,000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6,000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8,000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4,000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8,000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1690688</wp:posOffset>
                </wp:positionH>
                <wp:positionV relativeFrom="paragraph">
                  <wp:posOffset>28894</wp:posOffset>
                </wp:positionV>
                <wp:extent cx="5500370" cy="405591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19628" y="1913100"/>
                          <a:ext cx="5452745" cy="373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Rules: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										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Players will receive 12,000 in tournament chips.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Registration and re-entry ends at the start of level 6.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single Ante will be paid from the Big Blind for the entire table. The Big Blind is posted prior to the Ante.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Redraw at final table or by the Tournament Manager's discretion.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Play begins with 4 players checked in at the table.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Rivers Casino Philadelphia reserves the right to change or cancel any tournament.  Rivers Casino Philadelphia will not be held responsible in the event of a typographical error or misinformation on the website, Bravo, or any printed material that pertains to their events. Players will not have any claims in these matters.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Seating may be limited.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Residents of foreign countries without a U.S. tax treaty will be subject to withholding.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$56 will go towards the prize pool. $14 registration fee. $7 will be withheld for the Dealers. $3 will be withheld for Tournament Promotional Fund.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Levels will be 12 minutes in length.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Players may forfeit all of their chips at the end of registration to Re-Enter.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All players will start with a full chip stack. Purchased stacks will be put into play at the end of registration if the player is still absent.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Poker Supervisor or above decision is final without recourse.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1690688</wp:posOffset>
                </wp:positionH>
                <wp:positionV relativeFrom="paragraph">
                  <wp:posOffset>28894</wp:posOffset>
                </wp:positionV>
                <wp:extent cx="5500370" cy="4055914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0370" cy="40559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450" w:firstLine="0"/>
        <w:rPr/>
      </w:pPr>
      <w:bookmarkStart w:colFirst="0" w:colLast="0" w:name="_heading=h.xwe2l6w5tu93" w:id="1"/>
      <w:bookmarkEnd w:id="1"/>
      <w:r w:rsidDel="00000000" w:rsidR="00000000" w:rsidRPr="00000000">
        <w:rPr/>
        <w:drawing>
          <wp:inline distB="0" distT="0" distL="0" distR="0">
            <wp:extent cx="1995827" cy="149669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5827" cy="1496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-427030</wp:posOffset>
                </wp:positionH>
                <wp:positionV relativeFrom="paragraph">
                  <wp:posOffset>1368588</wp:posOffset>
                </wp:positionV>
                <wp:extent cx="2327687" cy="61170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5969" y="3497962"/>
                          <a:ext cx="2280062" cy="564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Must be 21 years of age or older to be inside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Rivers Casino. Management reserves all rights.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-427030</wp:posOffset>
                </wp:positionH>
                <wp:positionV relativeFrom="paragraph">
                  <wp:posOffset>1368588</wp:posOffset>
                </wp:positionV>
                <wp:extent cx="2327687" cy="611702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7687" cy="6117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637.5pt;height:825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37.5pt;height:825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37.5pt;height:825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kdYtiNgXRRnEDtmRJSd+OhiHg==">CgMxLjAyDmguZ2M0NHRmN3djcG9lMg5oLnh3ZTJsNnc1dHU5MzgAciExeXpwUmhaOWJKRW5xdllGeW5iMDNrS0ZRbUY3b2g1SzY=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