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bCs w:val="1"/>
          <w:color w:val="ff0000"/>
          <w:sz w:val="82"/>
          <w:szCs w:val="82"/>
        </w:rPr>
      </w:pPr>
      <w:bookmarkStart w:colFirst="0" w:colLast="0" w:name="_heading=h.pdooqux4hz7m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sz w:val="82"/>
          <w:szCs w:val="82"/>
          <w:vertAlign w:val="superscript"/>
          <w:rtl w:val="0"/>
        </w:rPr>
        <w:t xml:space="preserve">Holiday Deepstack Series Event #1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b w:val="1"/>
          <w:bCs w:val="1"/>
          <w:color w:val="ff0000"/>
          <w:sz w:val="54"/>
          <w:szCs w:val="54"/>
        </w:rPr>
      </w:pPr>
      <w:bookmarkStart w:colFirst="0" w:colLast="0" w:name="_heading=h.pdooqux4hz7m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sz w:val="54"/>
          <w:szCs w:val="54"/>
          <w:vertAlign w:val="superscript"/>
          <w:rtl w:val="0"/>
        </w:rPr>
        <w:t xml:space="preserve">$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sz w:val="54"/>
          <w:szCs w:val="54"/>
          <w:rtl w:val="0"/>
        </w:rPr>
        <w:t xml:space="preserve">200 Buy-In | Mini Monster Stack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rPr>
          <w:rFonts w:ascii="Verdana" w:cs="Verdana" w:eastAsia="Verdana" w:hAnsi="Verdana"/>
          <w:color w:val="ff0000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32"/>
          <w:szCs w:val="32"/>
          <w:rtl w:val="0"/>
        </w:rPr>
        <w:t xml:space="preserve">Friday September, 4, 2026</w:t>
      </w:r>
      <w:r w:rsidDel="00000000" w:rsidR="00000000" w:rsidRPr="00000000">
        <w:rPr>
          <w:rFonts w:ascii="Verdana" w:cs="Verdana" w:eastAsia="Verdana" w:hAnsi="Verdana"/>
          <w:color w:val="1b365d"/>
          <w:sz w:val="32"/>
          <w:szCs w:val="32"/>
          <w:rtl w:val="0"/>
        </w:rPr>
        <w:t xml:space="preserve"> | 5:15PM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rFonts w:ascii="Verdana" w:cs="Verdana" w:eastAsia="Verdana" w:hAnsi="Verdana"/>
          <w:color w:val="1b365d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32"/>
          <w:szCs w:val="32"/>
          <w:rtl w:val="0"/>
        </w:rPr>
        <w:t xml:space="preserve">50,000 Starting Stack | 20 Minute Levels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064.0" w:type="dxa"/>
        <w:jc w:val="left"/>
        <w:tblInd w:w="27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6"/>
        <w:gridCol w:w="2016"/>
        <w:gridCol w:w="2016"/>
        <w:gridCol w:w="2016"/>
        <w:tblGridChange w:id="0">
          <w:tblGrid>
            <w:gridCol w:w="2016"/>
            <w:gridCol w:w="2016"/>
            <w:gridCol w:w="2016"/>
            <w:gridCol w:w="201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 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Small Blind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 Minute Break -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COLOR UP 100 CHIPS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2,500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2,500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End Of Registration | 15 Minute Break | COLOR UP 500 CHIPS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450" w:firstLine="0"/>
        <w:rPr/>
      </w:pPr>
      <w:bookmarkStart w:colFirst="0" w:colLast="0" w:name="_heading=h.g9gw77ynj0f8" w:id="1"/>
      <w:bookmarkEnd w:id="1"/>
      <w:r w:rsidDel="00000000" w:rsidR="00000000" w:rsidRPr="00000000">
        <w:rPr/>
        <w:drawing>
          <wp:inline distB="0" distT="0" distL="0" distR="0">
            <wp:extent cx="1995827" cy="1496695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827" cy="14966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-446074</wp:posOffset>
                </wp:positionH>
                <wp:positionV relativeFrom="paragraph">
                  <wp:posOffset>1349539</wp:posOffset>
                </wp:positionV>
                <wp:extent cx="2365787" cy="649802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05969" y="3497962"/>
                          <a:ext cx="2280062" cy="564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Must be 21 years of age or older to be inside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Rivers Casino. Management reserves all rights.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-446074</wp:posOffset>
                </wp:positionH>
                <wp:positionV relativeFrom="paragraph">
                  <wp:posOffset>1349539</wp:posOffset>
                </wp:positionV>
                <wp:extent cx="2365787" cy="649802"/>
                <wp:effectExtent b="0" l="0" r="0" t="0"/>
                <wp:wrapNone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787" cy="6498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tabs>
        <w:tab w:val="center" w:leader="none" w:pos="4680"/>
        <w:tab w:val="right" w:leader="none" w:pos="9360"/>
      </w:tabs>
      <w:ind w:left="-450" w:firstLine="0"/>
      <w:rPr/>
    </w:pPr>
    <w:bookmarkStart w:colFirst="0" w:colLast="0" w:name="_heading=h.g9gw77ynj0f8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1685925</wp:posOffset>
              </wp:positionH>
              <wp:positionV relativeFrom="paragraph">
                <wp:posOffset>5414963</wp:posOffset>
              </wp:positionV>
              <wp:extent cx="5514975" cy="3920283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2350" y="2609350"/>
                        <a:ext cx="5514975" cy="3920283"/>
                        <a:chOff x="2482350" y="2609350"/>
                        <a:chExt cx="5514975" cy="3914175"/>
                      </a:xfrm>
                    </wpg:grpSpPr>
                    <wpg:grpSp>
                      <wpg:cNvGrpSpPr/>
                      <wpg:grpSpPr>
                        <a:xfrm>
                          <a:off x="2482374" y="2609351"/>
                          <a:ext cx="5514946" cy="3914166"/>
                          <a:chOff x="2397600" y="-1412132"/>
                          <a:chExt cx="5706100" cy="6631932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397600" y="403100"/>
                            <a:ext cx="5706100" cy="481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97601" y="-1412132"/>
                            <a:ext cx="5706089" cy="6631927"/>
                            <a:chOff x="8391" y="-4477246"/>
                            <a:chExt cx="10683559" cy="11025646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365850" y="1011600"/>
                              <a:ext cx="10326100" cy="5536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8391" y="-4477246"/>
                              <a:ext cx="9960300" cy="11025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2"/>
                                    <w:vertAlign w:val="baseline"/>
                                  </w:rPr>
                                  <w:t xml:space="preserve">Rules: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1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										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1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Players will receive 50,000 in tournament chips.	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Registration and re-entry ends at the start of level 13.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A single Ante will be paid from the Big Blind for the entire table. The Big Blind is posted prior to the Ante.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Redraw at final table or by the Tournament Manager's discretion.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Play begins with 4 players checked in at the table.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Rivers Casino Philadelphia reserves the right to change or cancel any   tournament. Rivers Casino Philadelphia will not be held responsible in the event of a typographical error or misinformation on the website, Bravo, or any printed material that pertains to their events. Players will not have any claims in these matters.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Seating may be limited.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Residents of foreign countries without a U.S. tax treaty will be subject to withholding.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$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157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 will go towards the prize pool.  $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0 registration fee. $10 will be withheld for the Dealers.  $3 will be withheld for Tournament Promotional Fund.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Levels will be 20 minutes in length.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Players may forfeit all of their chips at the end of registration to Re-Enter.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All players will start with a full chip stack.  Purchased stacks will be put into play at the end of registration if the player is still absent.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Poker Supervisor or above decision is final without recourse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.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8"/>
                                    <w:vertAlign w:val="baseline"/>
                                  </w:rPr>
                                  <w:t xml:space="preserve">Players may Donate $10 or 5 Canned Goods for an extra 10,000 in chips.  All food and cash donations will go to Philabundance. 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282350" y="3914025"/>
                              <a:ext cx="5409600" cy="40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1685925</wp:posOffset>
              </wp:positionH>
              <wp:positionV relativeFrom="paragraph">
                <wp:posOffset>5414963</wp:posOffset>
              </wp:positionV>
              <wp:extent cx="5514975" cy="3920283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4975" cy="392028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7282GSPsKrdRVCHsfclrckaLg==">CgMxLjAyDmgucGRvb3F1eDRoejdtMg5oLnBkb29xdXg0aHo3bTIOaC5nOWd3Nzd5bmowZjgyDmguZzlndzc3eW5qMGY4OAByITFsU29mNEczTDBJX2pfdG5MZlpZc0JmRVg3X0gxRC1TdA==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